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120-150-200 LX</w:t>
      </w:r>
    </w:p>
    <w:p>
      <w:r>
        <w:drawing>
          <wp:inline distT="0" distB="0" distL="0" distR="0">
            <wp:extent cx="3571875" cy="2952750"/>
            <wp:effectExtent l="19050" t="0" r="0" b="0"/>
            <wp:docPr id="5" name="/ImageGen.ashx?image=/media/376986/inox-120-150-200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6/inox-120-150-200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c5a653f4a944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b014adfd4894bb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8a36dde8f4e4f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9441ef2888842b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ad4d02e423146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900209cbad045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f82b43a747749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277fae6bf7f48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1228b7fec1144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120282   </w:t>
            </w:r>
          </w:p>
        </w:tc>
        <w:tc>
          <w:tcPr/>
          <w:p>
            <w:r>
              <w:t xml:space="preserve">MANTA INOX 120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120279</w:t>
            </w:r>
          </w:p>
        </w:tc>
        <w:tc>
          <w:tcPr/>
          <w:p>
            <w:r>
              <w:t xml:space="preserve">MANTA INOX 150 LX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120265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120281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120264</w:t>
            </w:r>
          </w:p>
        </w:tc>
        <w:tc>
          <w:tcPr/>
          <w:p>
            <w:r>
              <w:t xml:space="preserve">MANTA INOX 200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120268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/>
          <w:p>
            <w:r>
              <w:t xml:space="preserve">120278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  <w:r>
              <w:br/>
            </w:r>
            <w:r>
              <w:t xml:space="preserve">** Self-bracking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c5a653f4a9448c" /><Relationship Type="http://schemas.openxmlformats.org/officeDocument/2006/relationships/image" Target="/media/image.gif" Id="R1b014adfd4894bb8" /><Relationship Type="http://schemas.openxmlformats.org/officeDocument/2006/relationships/image" Target="/media/image2.gif" Id="R58a36dde8f4e4f80" /><Relationship Type="http://schemas.openxmlformats.org/officeDocument/2006/relationships/image" Target="/media/image3.gif" Id="R29441ef2888842ba" /><Relationship Type="http://schemas.openxmlformats.org/officeDocument/2006/relationships/image" Target="/media/image4.gif" Id="Rbad4d02e42314622" /><Relationship Type="http://schemas.openxmlformats.org/officeDocument/2006/relationships/image" Target="/media/image5.gif" Id="R2900209cbad04562" /><Relationship Type="http://schemas.openxmlformats.org/officeDocument/2006/relationships/image" Target="/media/image6.gif" Id="Raf82b43a74774967" /><Relationship Type="http://schemas.openxmlformats.org/officeDocument/2006/relationships/image" Target="/media/image7.gif" Id="Rf277fae6bf7f4806" /><Relationship Type="http://schemas.openxmlformats.org/officeDocument/2006/relationships/image" Target="/media/image8.gif" Id="Ra1228b7fec1144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